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2593" w14:textId="77777777" w:rsidR="00067D1C" w:rsidRDefault="00000000">
      <w:pPr>
        <w:pStyle w:val="1"/>
        <w:spacing w:before="74" w:line="240" w:lineRule="auto"/>
        <w:ind w:left="763"/>
        <w:jc w:val="center"/>
      </w:pPr>
      <w:r>
        <w:t>КОНТРОЛЬ</w:t>
      </w:r>
      <w:r>
        <w:rPr>
          <w:spacing w:val="-5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rPr>
          <w:spacing w:val="-2"/>
        </w:rPr>
        <w:t>ПРОДУКЦІЇ</w:t>
      </w:r>
    </w:p>
    <w:p w14:paraId="239851A5" w14:textId="77777777" w:rsidR="00067D1C" w:rsidRDefault="00067D1C">
      <w:pPr>
        <w:pStyle w:val="a3"/>
        <w:spacing w:before="1"/>
        <w:ind w:left="0" w:right="0" w:firstLine="0"/>
        <w:jc w:val="left"/>
        <w:rPr>
          <w:b/>
        </w:rPr>
      </w:pPr>
    </w:p>
    <w:p w14:paraId="2580E73B" w14:textId="77777777" w:rsidR="00067D1C" w:rsidRDefault="00000000">
      <w:pPr>
        <w:spacing w:line="321" w:lineRule="exact"/>
        <w:ind w:left="763" w:right="5"/>
        <w:jc w:val="center"/>
        <w:rPr>
          <w:b/>
          <w:i/>
          <w:sz w:val="28"/>
        </w:rPr>
      </w:pPr>
      <w:r>
        <w:rPr>
          <w:b/>
          <w:sz w:val="28"/>
        </w:rPr>
        <w:t>Циклова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комісія,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забезпечує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викладання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  <w:u w:val="single"/>
        </w:rPr>
        <w:t>харчових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технологій</w:t>
      </w:r>
    </w:p>
    <w:p w14:paraId="5D33966D" w14:textId="77777777" w:rsidR="00067D1C" w:rsidRDefault="00000000">
      <w:pPr>
        <w:spacing w:line="321" w:lineRule="exact"/>
        <w:ind w:left="763" w:right="5"/>
        <w:jc w:val="center"/>
        <w:rPr>
          <w:b/>
          <w:i/>
          <w:sz w:val="28"/>
        </w:rPr>
      </w:pPr>
      <w:r>
        <w:rPr>
          <w:b/>
          <w:sz w:val="28"/>
        </w:rPr>
        <w:t>Відділення</w:t>
      </w:r>
      <w:r>
        <w:rPr>
          <w:b/>
          <w:spacing w:val="-9"/>
          <w:sz w:val="28"/>
        </w:rPr>
        <w:t xml:space="preserve"> </w:t>
      </w:r>
      <w:r>
        <w:rPr>
          <w:b/>
          <w:i/>
          <w:spacing w:val="-2"/>
          <w:sz w:val="28"/>
          <w:u w:val="single"/>
        </w:rPr>
        <w:t>технологічне</w:t>
      </w:r>
    </w:p>
    <w:p w14:paraId="1F1EC531" w14:textId="77777777" w:rsidR="00067D1C" w:rsidRDefault="00067D1C">
      <w:pPr>
        <w:pStyle w:val="a3"/>
        <w:spacing w:before="1"/>
        <w:ind w:left="0" w:right="0" w:firstLine="0"/>
        <w:jc w:val="left"/>
        <w:rPr>
          <w:b/>
          <w:i/>
        </w:rPr>
      </w:pPr>
    </w:p>
    <w:p w14:paraId="7A7FAA5C" w14:textId="77777777" w:rsidR="00067D1C" w:rsidRDefault="00000000">
      <w:pPr>
        <w:tabs>
          <w:tab w:val="left" w:pos="4432"/>
        </w:tabs>
        <w:spacing w:line="321" w:lineRule="exact"/>
        <w:ind w:left="180"/>
        <w:rPr>
          <w:sz w:val="28"/>
        </w:rPr>
      </w:pPr>
      <w:r>
        <w:rPr>
          <w:b/>
          <w:spacing w:val="-2"/>
          <w:sz w:val="28"/>
        </w:rPr>
        <w:t>Викладач</w:t>
      </w:r>
      <w:r>
        <w:rPr>
          <w:b/>
          <w:sz w:val="28"/>
        </w:rPr>
        <w:tab/>
      </w:r>
      <w:r>
        <w:rPr>
          <w:sz w:val="28"/>
          <w:u w:val="single"/>
        </w:rPr>
        <w:t>Собчук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 xml:space="preserve">Ірина </w:t>
      </w:r>
      <w:r>
        <w:rPr>
          <w:spacing w:val="-2"/>
          <w:sz w:val="28"/>
          <w:u w:val="single"/>
        </w:rPr>
        <w:t>Сергіївна</w:t>
      </w:r>
    </w:p>
    <w:p w14:paraId="0EB78928" w14:textId="77777777" w:rsidR="00067D1C" w:rsidRDefault="00000000">
      <w:pPr>
        <w:tabs>
          <w:tab w:val="left" w:pos="4432"/>
        </w:tabs>
        <w:spacing w:line="321" w:lineRule="exact"/>
        <w:ind w:left="180"/>
        <w:rPr>
          <w:sz w:val="28"/>
        </w:rPr>
      </w:pPr>
      <w:r>
        <w:rPr>
          <w:b/>
          <w:spacing w:val="-2"/>
          <w:sz w:val="28"/>
        </w:rPr>
        <w:t>Семестр</w:t>
      </w:r>
      <w:r>
        <w:rPr>
          <w:b/>
          <w:sz w:val="28"/>
        </w:rPr>
        <w:tab/>
      </w:r>
      <w:r>
        <w:rPr>
          <w:spacing w:val="-2"/>
          <w:sz w:val="28"/>
          <w:u w:val="single"/>
        </w:rPr>
        <w:t>6-</w:t>
      </w:r>
      <w:r>
        <w:rPr>
          <w:spacing w:val="-10"/>
          <w:sz w:val="28"/>
          <w:u w:val="single"/>
        </w:rPr>
        <w:t>й</w:t>
      </w:r>
    </w:p>
    <w:p w14:paraId="32156F37" w14:textId="77777777" w:rsidR="00067D1C" w:rsidRDefault="00000000">
      <w:pPr>
        <w:tabs>
          <w:tab w:val="left" w:pos="4432"/>
        </w:tabs>
        <w:spacing w:before="3" w:line="321" w:lineRule="exact"/>
        <w:ind w:left="180"/>
        <w:rPr>
          <w:sz w:val="28"/>
        </w:rPr>
      </w:pPr>
      <w:r>
        <w:rPr>
          <w:b/>
          <w:sz w:val="28"/>
        </w:rPr>
        <w:t>Освітньо-професійний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ступінь</w:t>
      </w:r>
      <w:r>
        <w:rPr>
          <w:b/>
          <w:sz w:val="28"/>
        </w:rPr>
        <w:tab/>
      </w:r>
      <w:r>
        <w:rPr>
          <w:sz w:val="28"/>
          <w:u w:val="single"/>
        </w:rPr>
        <w:t>Фаховий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молодший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бакалавр</w:t>
      </w:r>
    </w:p>
    <w:p w14:paraId="7B5866D8" w14:textId="77777777" w:rsidR="00067D1C" w:rsidRDefault="00000000">
      <w:pPr>
        <w:pStyle w:val="1"/>
        <w:tabs>
          <w:tab w:val="right" w:pos="4572"/>
        </w:tabs>
        <w:jc w:val="left"/>
        <w:rPr>
          <w:b w:val="0"/>
        </w:rPr>
      </w:pPr>
      <w:r>
        <w:t>Кількість</w:t>
      </w:r>
      <w:r>
        <w:rPr>
          <w:spacing w:val="-2"/>
        </w:rPr>
        <w:t xml:space="preserve"> </w:t>
      </w:r>
      <w:r>
        <w:t>кредитів</w:t>
      </w:r>
      <w:r>
        <w:rPr>
          <w:spacing w:val="-5"/>
        </w:rPr>
        <w:t xml:space="preserve"> </w:t>
      </w:r>
      <w:r>
        <w:rPr>
          <w:spacing w:val="-4"/>
        </w:rPr>
        <w:t>ЄКТС</w:t>
      </w:r>
      <w:r>
        <w:rPr>
          <w:b w:val="0"/>
        </w:rPr>
        <w:tab/>
      </w:r>
      <w:r>
        <w:rPr>
          <w:b w:val="0"/>
          <w:spacing w:val="-10"/>
          <w:u w:val="single"/>
        </w:rPr>
        <w:t>3</w:t>
      </w:r>
    </w:p>
    <w:p w14:paraId="096E72D2" w14:textId="77777777" w:rsidR="00067D1C" w:rsidRDefault="00000000">
      <w:pPr>
        <w:tabs>
          <w:tab w:val="left" w:pos="4432"/>
        </w:tabs>
        <w:spacing w:line="321" w:lineRule="exact"/>
        <w:ind w:left="18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контролю</w:t>
      </w:r>
      <w:r>
        <w:rPr>
          <w:b/>
          <w:sz w:val="28"/>
        </w:rPr>
        <w:tab/>
      </w:r>
      <w:r>
        <w:rPr>
          <w:sz w:val="28"/>
          <w:u w:val="single"/>
        </w:rPr>
        <w:t>Диференційований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залік</w:t>
      </w:r>
    </w:p>
    <w:p w14:paraId="6D3789A0" w14:textId="77777777" w:rsidR="00067D1C" w:rsidRDefault="00000000">
      <w:pPr>
        <w:tabs>
          <w:tab w:val="left" w:pos="4432"/>
        </w:tabs>
        <w:spacing w:before="3"/>
        <w:ind w:left="4427" w:right="123" w:hanging="4248"/>
        <w:rPr>
          <w:sz w:val="28"/>
        </w:rPr>
      </w:pPr>
      <w:r>
        <w:rPr>
          <w:b/>
          <w:sz w:val="28"/>
        </w:rPr>
        <w:t>Аудиторні години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  <w:u w:val="single"/>
        </w:rPr>
        <w:t>30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(з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них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10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лекцій,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20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z w:val="28"/>
        </w:rPr>
        <w:t xml:space="preserve"> </w:t>
      </w:r>
      <w:r>
        <w:rPr>
          <w:sz w:val="28"/>
          <w:u w:val="single"/>
        </w:rPr>
        <w:t>семінарських / практичних)</w:t>
      </w:r>
    </w:p>
    <w:p w14:paraId="06A7A6D4" w14:textId="77777777" w:rsidR="00067D1C" w:rsidRDefault="00000000">
      <w:pPr>
        <w:pStyle w:val="1"/>
        <w:spacing w:before="322" w:line="321" w:lineRule="exact"/>
        <w:ind w:left="3442"/>
      </w:pPr>
      <w:r>
        <w:t>Загальний</w:t>
      </w:r>
      <w:r>
        <w:rPr>
          <w:spacing w:val="-8"/>
        </w:rPr>
        <w:t xml:space="preserve"> </w:t>
      </w:r>
      <w:r>
        <w:t>опис</w:t>
      </w:r>
      <w:r>
        <w:rPr>
          <w:spacing w:val="-1"/>
        </w:rPr>
        <w:t xml:space="preserve"> </w:t>
      </w:r>
      <w:r>
        <w:rPr>
          <w:spacing w:val="-2"/>
        </w:rPr>
        <w:t>дисципліни</w:t>
      </w:r>
    </w:p>
    <w:p w14:paraId="68B7D57A" w14:textId="77777777" w:rsidR="00067D1C" w:rsidRDefault="00000000">
      <w:pPr>
        <w:pStyle w:val="a3"/>
        <w:ind w:left="180" w:right="123" w:firstLine="710"/>
      </w:pPr>
      <w:r>
        <w:t>Метою дисципліни є формування у майбутніх спеціалістів основних професійних компетенцій: здобути глибокі теоретичні знання та набути практичних навичок з оцінювання якості та безпеки зерна та продуктів його переробки; забезпечити необхідний рівень знань студентів для контролю проходження технологічних процесів виробництва, всіх хімічних і фізичних змін, які проходять на всіх стадіях технологічного процесу</w:t>
      </w:r>
    </w:p>
    <w:p w14:paraId="6F858794" w14:textId="77777777" w:rsidR="00067D1C" w:rsidRDefault="00000000">
      <w:pPr>
        <w:pStyle w:val="a3"/>
        <w:spacing w:before="3"/>
        <w:ind w:left="180" w:right="116" w:firstLine="710"/>
      </w:pPr>
      <w:r>
        <w:t xml:space="preserve">В ході вивчення дисципліни здобувачі освіти набувають таких фахових </w:t>
      </w:r>
      <w:proofErr w:type="spellStart"/>
      <w:r>
        <w:t>компетентностей</w:t>
      </w:r>
      <w:proofErr w:type="spellEnd"/>
      <w:r>
        <w:rPr>
          <w:spacing w:val="-16"/>
        </w:rPr>
        <w:t xml:space="preserve"> </w:t>
      </w:r>
      <w:r>
        <w:t>як</w:t>
      </w:r>
      <w:r>
        <w:rPr>
          <w:spacing w:val="-16"/>
        </w:rPr>
        <w:t xml:space="preserve"> </w:t>
      </w:r>
      <w:r>
        <w:t>здатність</w:t>
      </w:r>
      <w:r>
        <w:rPr>
          <w:spacing w:val="-13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розуміння</w:t>
      </w:r>
      <w:r>
        <w:rPr>
          <w:spacing w:val="-7"/>
        </w:rPr>
        <w:t xml:space="preserve"> </w:t>
      </w:r>
      <w:r>
        <w:t>основних</w:t>
      </w:r>
      <w:r>
        <w:rPr>
          <w:spacing w:val="-14"/>
        </w:rPr>
        <w:t xml:space="preserve"> </w:t>
      </w:r>
      <w:r>
        <w:t>принципів</w:t>
      </w:r>
      <w:r>
        <w:rPr>
          <w:spacing w:val="-15"/>
        </w:rPr>
        <w:t xml:space="preserve"> </w:t>
      </w:r>
      <w:r>
        <w:t xml:space="preserve">використання стандартів на продукцію галузі, вміти використовувати методики визначення показників якості зерна різного цільового призначення; знати основні характеристики зерна різних культур та продуктів його переробки; використовувати схеми аналізу та сучасні методи визначення показників якості зерна та продуктів його переробки; вміти класифікувати продукцію згідно із стандартами; порекомендувати схему зберігання та переробки даної продукції згідно з її якістю; здійснювати стандартні дослідження по визначенню </w:t>
      </w:r>
      <w:proofErr w:type="spellStart"/>
      <w:r>
        <w:t>фізикохімічних</w:t>
      </w:r>
      <w:proofErr w:type="spellEnd"/>
      <w:r>
        <w:t>, органолептичних показників якості зерна та продуктів його переробки; уміння формувати власне бачення проблематики якості та безпеки продукції галузі.</w:t>
      </w:r>
    </w:p>
    <w:p w14:paraId="70AF25EF" w14:textId="77777777" w:rsidR="00067D1C" w:rsidRDefault="00000000">
      <w:pPr>
        <w:pStyle w:val="1"/>
        <w:ind w:left="4072"/>
      </w:pPr>
      <w:r>
        <w:t>Теми</w:t>
      </w:r>
      <w:r>
        <w:rPr>
          <w:spacing w:val="-6"/>
        </w:rPr>
        <w:t xml:space="preserve"> </w:t>
      </w:r>
      <w:r>
        <w:rPr>
          <w:spacing w:val="-2"/>
        </w:rPr>
        <w:t>лекцій</w:t>
      </w:r>
    </w:p>
    <w:p w14:paraId="0A4F34B1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spacing w:before="5" w:line="237" w:lineRule="auto"/>
        <w:ind w:left="465"/>
        <w:jc w:val="both"/>
        <w:rPr>
          <w:sz w:val="28"/>
        </w:rPr>
      </w:pPr>
      <w:r>
        <w:rPr>
          <w:sz w:val="28"/>
        </w:rPr>
        <w:t>Система контролю якості продукції. Об'єкти та суб'єкти контролю якості. Загальні принципи безпеки харчових продуктів.</w:t>
      </w:r>
    </w:p>
    <w:p w14:paraId="1BA52F50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spacing w:before="5"/>
        <w:ind w:left="465" w:right="126"/>
        <w:jc w:val="both"/>
        <w:rPr>
          <w:sz w:val="28"/>
        </w:rPr>
      </w:pPr>
      <w:r>
        <w:rPr>
          <w:sz w:val="28"/>
        </w:rPr>
        <w:t>Контроль якості і безпека продуктів харчування в ЄС Якість продуктів харчування як національна ідея. Контроль за безпекою продуктів харчування. Проблеми ідентифікації та фальсифікації харчових продуктів.</w:t>
      </w:r>
    </w:p>
    <w:p w14:paraId="2B14CEB4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ind w:left="465" w:right="121"/>
        <w:jc w:val="both"/>
        <w:rPr>
          <w:sz w:val="28"/>
        </w:rPr>
      </w:pPr>
      <w:r>
        <w:rPr>
          <w:sz w:val="28"/>
        </w:rPr>
        <w:t>Методи оцінки і контролю якості продукції галузі. Основні показники харчової цінності та безпеки харчової продукції. Методологія контролю якості харчової продукції.</w:t>
      </w:r>
    </w:p>
    <w:p w14:paraId="584AA389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ind w:left="465" w:right="126"/>
        <w:jc w:val="both"/>
        <w:rPr>
          <w:sz w:val="28"/>
        </w:rPr>
      </w:pPr>
      <w:r>
        <w:rPr>
          <w:sz w:val="28"/>
        </w:rPr>
        <w:t xml:space="preserve">Безпечність продукції галузі. </w:t>
      </w:r>
      <w:proofErr w:type="spellStart"/>
      <w:r>
        <w:rPr>
          <w:sz w:val="28"/>
        </w:rPr>
        <w:t>Мікотоксини</w:t>
      </w:r>
      <w:proofErr w:type="spellEnd"/>
      <w:r>
        <w:rPr>
          <w:sz w:val="28"/>
        </w:rPr>
        <w:t xml:space="preserve">, радіоактивне забруднення. Пестициди. Нітрати, нітрити, </w:t>
      </w:r>
      <w:proofErr w:type="spellStart"/>
      <w:r>
        <w:rPr>
          <w:sz w:val="28"/>
        </w:rPr>
        <w:t>нітрозоаміни</w:t>
      </w:r>
      <w:proofErr w:type="spellEnd"/>
      <w:r>
        <w:rPr>
          <w:sz w:val="28"/>
        </w:rPr>
        <w:t>. Харчові добавки.</w:t>
      </w:r>
    </w:p>
    <w:p w14:paraId="427097EF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ind w:left="465"/>
        <w:jc w:val="both"/>
        <w:rPr>
          <w:sz w:val="28"/>
        </w:rPr>
      </w:pPr>
      <w:r>
        <w:rPr>
          <w:sz w:val="28"/>
        </w:rPr>
        <w:t xml:space="preserve">Система управління безпекою харчових продуктів на основі концепції </w:t>
      </w:r>
      <w:r>
        <w:rPr>
          <w:spacing w:val="-2"/>
          <w:sz w:val="28"/>
        </w:rPr>
        <w:t>НАССР.</w:t>
      </w:r>
    </w:p>
    <w:p w14:paraId="74818B81" w14:textId="77777777" w:rsidR="00067D1C" w:rsidRDefault="00067D1C">
      <w:pPr>
        <w:jc w:val="both"/>
        <w:rPr>
          <w:sz w:val="28"/>
        </w:rPr>
        <w:sectPr w:rsidR="00067D1C" w:rsidSect="000720D6">
          <w:type w:val="continuous"/>
          <w:pgSz w:w="11910" w:h="16840"/>
          <w:pgMar w:top="1060" w:right="720" w:bottom="280" w:left="1520" w:header="720" w:footer="720" w:gutter="0"/>
          <w:cols w:space="720"/>
        </w:sectPr>
      </w:pPr>
    </w:p>
    <w:p w14:paraId="28D1D258" w14:textId="77777777" w:rsidR="00067D1C" w:rsidRDefault="00000000">
      <w:pPr>
        <w:pStyle w:val="1"/>
        <w:spacing w:before="74" w:line="321" w:lineRule="exact"/>
        <w:ind w:left="2597"/>
      </w:pPr>
      <w:r>
        <w:lastRenderedPageBreak/>
        <w:t>Теми</w:t>
      </w:r>
      <w:r>
        <w:rPr>
          <w:spacing w:val="-6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(семінарських,</w:t>
      </w:r>
      <w:r>
        <w:rPr>
          <w:spacing w:val="-4"/>
        </w:rPr>
        <w:t xml:space="preserve"> </w:t>
      </w:r>
      <w:r>
        <w:rPr>
          <w:spacing w:val="-2"/>
        </w:rPr>
        <w:t>практичних)</w:t>
      </w:r>
    </w:p>
    <w:p w14:paraId="147F44D3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left="465"/>
        <w:jc w:val="both"/>
        <w:rPr>
          <w:sz w:val="28"/>
        </w:rPr>
      </w:pPr>
      <w:r>
        <w:rPr>
          <w:sz w:val="28"/>
        </w:rPr>
        <w:t>Система контролю якості продукції. Об'єкти та суб'єкти контролю якості. Загальні принципи безпеки харчових продуктів.</w:t>
      </w:r>
    </w:p>
    <w:p w14:paraId="718017BC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ind w:left="465" w:right="125"/>
        <w:jc w:val="both"/>
        <w:rPr>
          <w:sz w:val="28"/>
        </w:rPr>
      </w:pPr>
      <w:r>
        <w:rPr>
          <w:sz w:val="28"/>
        </w:rPr>
        <w:t>Контроль якості і безпека продуктів харчування в ЄС Якість продуктів харчування як національна ідея. Контроль за безпекою продуктів харчування. Проблеми ідентифікації та фальсифікації харчових продуктів.</w:t>
      </w:r>
    </w:p>
    <w:p w14:paraId="5A1B7344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ind w:left="465" w:right="127"/>
        <w:jc w:val="both"/>
        <w:rPr>
          <w:sz w:val="28"/>
        </w:rPr>
      </w:pPr>
      <w:r>
        <w:rPr>
          <w:sz w:val="28"/>
        </w:rPr>
        <w:t>Методи оцінки і контролю якості продукції галузі. Основні показники харчової цінності та безпеки харчової продукції. Методологія контролю якості харчової продукції.</w:t>
      </w:r>
    </w:p>
    <w:p w14:paraId="6A21EE2A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left="465" w:right="126"/>
        <w:jc w:val="both"/>
        <w:rPr>
          <w:sz w:val="28"/>
        </w:rPr>
      </w:pPr>
      <w:r>
        <w:rPr>
          <w:sz w:val="28"/>
        </w:rPr>
        <w:t xml:space="preserve">Безпечність продукції галузі. </w:t>
      </w:r>
      <w:proofErr w:type="spellStart"/>
      <w:r>
        <w:rPr>
          <w:sz w:val="28"/>
        </w:rPr>
        <w:t>Мікотоксини</w:t>
      </w:r>
      <w:proofErr w:type="spellEnd"/>
      <w:r>
        <w:rPr>
          <w:sz w:val="28"/>
        </w:rPr>
        <w:t xml:space="preserve">, радіоактивне забруднення. Пестициди. Нітрати, нітрити, </w:t>
      </w:r>
      <w:proofErr w:type="spellStart"/>
      <w:r>
        <w:rPr>
          <w:sz w:val="28"/>
        </w:rPr>
        <w:t>нітрозоаміни</w:t>
      </w:r>
      <w:proofErr w:type="spellEnd"/>
      <w:r>
        <w:rPr>
          <w:sz w:val="28"/>
        </w:rPr>
        <w:t>. Харчові добавки.</w:t>
      </w:r>
    </w:p>
    <w:p w14:paraId="32BAA1C4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left="465"/>
        <w:jc w:val="both"/>
        <w:rPr>
          <w:sz w:val="28"/>
        </w:rPr>
      </w:pPr>
      <w:r>
        <w:rPr>
          <w:sz w:val="28"/>
        </w:rPr>
        <w:t xml:space="preserve">Система управління безпекою харчових продуктів на основі концепції </w:t>
      </w:r>
      <w:r>
        <w:rPr>
          <w:spacing w:val="-2"/>
          <w:sz w:val="28"/>
        </w:rPr>
        <w:t>НАССР.</w:t>
      </w:r>
    </w:p>
    <w:sectPr w:rsidR="00067D1C">
      <w:pgSz w:w="11910" w:h="16840"/>
      <w:pgMar w:top="1060" w:right="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2E3"/>
    <w:multiLevelType w:val="hybridMultilevel"/>
    <w:tmpl w:val="A574BE2A"/>
    <w:lvl w:ilvl="0" w:tplc="E13EA328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EE808AE">
      <w:numFmt w:val="bullet"/>
      <w:lvlText w:val="•"/>
      <w:lvlJc w:val="left"/>
      <w:pPr>
        <w:ind w:left="1380" w:hanging="361"/>
      </w:pPr>
      <w:rPr>
        <w:rFonts w:hint="default"/>
        <w:lang w:val="uk-UA" w:eastAsia="en-US" w:bidi="ar-SA"/>
      </w:rPr>
    </w:lvl>
    <w:lvl w:ilvl="2" w:tplc="6774284C">
      <w:numFmt w:val="bullet"/>
      <w:lvlText w:val="•"/>
      <w:lvlJc w:val="left"/>
      <w:pPr>
        <w:ind w:left="2301" w:hanging="361"/>
      </w:pPr>
      <w:rPr>
        <w:rFonts w:hint="default"/>
        <w:lang w:val="uk-UA" w:eastAsia="en-US" w:bidi="ar-SA"/>
      </w:rPr>
    </w:lvl>
    <w:lvl w:ilvl="3" w:tplc="522CD1C2">
      <w:numFmt w:val="bullet"/>
      <w:lvlText w:val="•"/>
      <w:lvlJc w:val="left"/>
      <w:pPr>
        <w:ind w:left="3221" w:hanging="361"/>
      </w:pPr>
      <w:rPr>
        <w:rFonts w:hint="default"/>
        <w:lang w:val="uk-UA" w:eastAsia="en-US" w:bidi="ar-SA"/>
      </w:rPr>
    </w:lvl>
    <w:lvl w:ilvl="4" w:tplc="B94286F0">
      <w:numFmt w:val="bullet"/>
      <w:lvlText w:val="•"/>
      <w:lvlJc w:val="left"/>
      <w:pPr>
        <w:ind w:left="4142" w:hanging="361"/>
      </w:pPr>
      <w:rPr>
        <w:rFonts w:hint="default"/>
        <w:lang w:val="uk-UA" w:eastAsia="en-US" w:bidi="ar-SA"/>
      </w:rPr>
    </w:lvl>
    <w:lvl w:ilvl="5" w:tplc="37BEE6D8">
      <w:numFmt w:val="bullet"/>
      <w:lvlText w:val="•"/>
      <w:lvlJc w:val="left"/>
      <w:pPr>
        <w:ind w:left="5062" w:hanging="361"/>
      </w:pPr>
      <w:rPr>
        <w:rFonts w:hint="default"/>
        <w:lang w:val="uk-UA" w:eastAsia="en-US" w:bidi="ar-SA"/>
      </w:rPr>
    </w:lvl>
    <w:lvl w:ilvl="6" w:tplc="7486CB80">
      <w:numFmt w:val="bullet"/>
      <w:lvlText w:val="•"/>
      <w:lvlJc w:val="left"/>
      <w:pPr>
        <w:ind w:left="5983" w:hanging="361"/>
      </w:pPr>
      <w:rPr>
        <w:rFonts w:hint="default"/>
        <w:lang w:val="uk-UA" w:eastAsia="en-US" w:bidi="ar-SA"/>
      </w:rPr>
    </w:lvl>
    <w:lvl w:ilvl="7" w:tplc="63C603C0">
      <w:numFmt w:val="bullet"/>
      <w:lvlText w:val="•"/>
      <w:lvlJc w:val="left"/>
      <w:pPr>
        <w:ind w:left="6903" w:hanging="361"/>
      </w:pPr>
      <w:rPr>
        <w:rFonts w:hint="default"/>
        <w:lang w:val="uk-UA" w:eastAsia="en-US" w:bidi="ar-SA"/>
      </w:rPr>
    </w:lvl>
    <w:lvl w:ilvl="8" w:tplc="357AD99E">
      <w:numFmt w:val="bullet"/>
      <w:lvlText w:val="•"/>
      <w:lvlJc w:val="left"/>
      <w:pPr>
        <w:ind w:left="7824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7EB962C8"/>
    <w:multiLevelType w:val="hybridMultilevel"/>
    <w:tmpl w:val="AC5A9F0E"/>
    <w:lvl w:ilvl="0" w:tplc="4DB8142E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FB02618">
      <w:numFmt w:val="bullet"/>
      <w:lvlText w:val="•"/>
      <w:lvlJc w:val="left"/>
      <w:pPr>
        <w:ind w:left="1380" w:hanging="361"/>
      </w:pPr>
      <w:rPr>
        <w:rFonts w:hint="default"/>
        <w:lang w:val="uk-UA" w:eastAsia="en-US" w:bidi="ar-SA"/>
      </w:rPr>
    </w:lvl>
    <w:lvl w:ilvl="2" w:tplc="D0502F66">
      <w:numFmt w:val="bullet"/>
      <w:lvlText w:val="•"/>
      <w:lvlJc w:val="left"/>
      <w:pPr>
        <w:ind w:left="2301" w:hanging="361"/>
      </w:pPr>
      <w:rPr>
        <w:rFonts w:hint="default"/>
        <w:lang w:val="uk-UA" w:eastAsia="en-US" w:bidi="ar-SA"/>
      </w:rPr>
    </w:lvl>
    <w:lvl w:ilvl="3" w:tplc="B04CCC80">
      <w:numFmt w:val="bullet"/>
      <w:lvlText w:val="•"/>
      <w:lvlJc w:val="left"/>
      <w:pPr>
        <w:ind w:left="3221" w:hanging="361"/>
      </w:pPr>
      <w:rPr>
        <w:rFonts w:hint="default"/>
        <w:lang w:val="uk-UA" w:eastAsia="en-US" w:bidi="ar-SA"/>
      </w:rPr>
    </w:lvl>
    <w:lvl w:ilvl="4" w:tplc="DE38BB06">
      <w:numFmt w:val="bullet"/>
      <w:lvlText w:val="•"/>
      <w:lvlJc w:val="left"/>
      <w:pPr>
        <w:ind w:left="4142" w:hanging="361"/>
      </w:pPr>
      <w:rPr>
        <w:rFonts w:hint="default"/>
        <w:lang w:val="uk-UA" w:eastAsia="en-US" w:bidi="ar-SA"/>
      </w:rPr>
    </w:lvl>
    <w:lvl w:ilvl="5" w:tplc="58447CAE">
      <w:numFmt w:val="bullet"/>
      <w:lvlText w:val="•"/>
      <w:lvlJc w:val="left"/>
      <w:pPr>
        <w:ind w:left="5062" w:hanging="361"/>
      </w:pPr>
      <w:rPr>
        <w:rFonts w:hint="default"/>
        <w:lang w:val="uk-UA" w:eastAsia="en-US" w:bidi="ar-SA"/>
      </w:rPr>
    </w:lvl>
    <w:lvl w:ilvl="6" w:tplc="C7127E42">
      <w:numFmt w:val="bullet"/>
      <w:lvlText w:val="•"/>
      <w:lvlJc w:val="left"/>
      <w:pPr>
        <w:ind w:left="5983" w:hanging="361"/>
      </w:pPr>
      <w:rPr>
        <w:rFonts w:hint="default"/>
        <w:lang w:val="uk-UA" w:eastAsia="en-US" w:bidi="ar-SA"/>
      </w:rPr>
    </w:lvl>
    <w:lvl w:ilvl="7" w:tplc="2A381CCA">
      <w:numFmt w:val="bullet"/>
      <w:lvlText w:val="•"/>
      <w:lvlJc w:val="left"/>
      <w:pPr>
        <w:ind w:left="6903" w:hanging="361"/>
      </w:pPr>
      <w:rPr>
        <w:rFonts w:hint="default"/>
        <w:lang w:val="uk-UA" w:eastAsia="en-US" w:bidi="ar-SA"/>
      </w:rPr>
    </w:lvl>
    <w:lvl w:ilvl="8" w:tplc="CB866072">
      <w:numFmt w:val="bullet"/>
      <w:lvlText w:val="•"/>
      <w:lvlJc w:val="left"/>
      <w:pPr>
        <w:ind w:left="7824" w:hanging="361"/>
      </w:pPr>
      <w:rPr>
        <w:rFonts w:hint="default"/>
        <w:lang w:val="uk-UA" w:eastAsia="en-US" w:bidi="ar-SA"/>
      </w:rPr>
    </w:lvl>
  </w:abstractNum>
  <w:num w:numId="1" w16cid:durableId="1277130598">
    <w:abstractNumId w:val="0"/>
  </w:num>
  <w:num w:numId="2" w16cid:durableId="79043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1C"/>
    <w:rsid w:val="00067D1C"/>
    <w:rsid w:val="000720D6"/>
    <w:rsid w:val="00BB0246"/>
    <w:rsid w:val="00C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98C5"/>
  <w15:docId w15:val="{4E6831B7-FB46-44AD-A56E-6C961BA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20" w:lineRule="exact"/>
      <w:ind w:left="1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right="129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5" w:right="12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Vladimir_HP</dc:creator>
  <cp:lastModifiedBy>Пользователь</cp:lastModifiedBy>
  <cp:revision>2</cp:revision>
  <dcterms:created xsi:type="dcterms:W3CDTF">2024-06-14T12:34:00Z</dcterms:created>
  <dcterms:modified xsi:type="dcterms:W3CDTF">2024-06-14T12:34:00Z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2024-06-14T00:00:00Z</vt:filetime>
  </property>
</Properties>
</file>